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B7AF3F" w14:textId="77777777" w:rsidR="00C667D6" w:rsidRPr="00794E9F" w:rsidRDefault="008E02F7">
      <w:pPr>
        <w:spacing w:before="240" w:after="240"/>
        <w:rPr>
          <w:b/>
          <w:bCs/>
          <w:sz w:val="28"/>
          <w:szCs w:val="28"/>
          <w:lang w:val="pl-PL"/>
        </w:rPr>
      </w:pPr>
      <w:r w:rsidRPr="00794E9F">
        <w:rPr>
          <w:b/>
          <w:bCs/>
          <w:sz w:val="28"/>
          <w:szCs w:val="28"/>
          <w:lang w:val="pl-PL"/>
        </w:rPr>
        <w:t>Kreatywność opóźnia starzenie się mózgu</w:t>
      </w:r>
    </w:p>
    <w:p w14:paraId="42CAB9FC" w14:textId="77777777" w:rsidR="00C667D6" w:rsidRPr="00794E9F" w:rsidRDefault="00C667D6">
      <w:pPr>
        <w:rPr>
          <w:b/>
          <w:bCs/>
          <w:sz w:val="20"/>
          <w:szCs w:val="20"/>
          <w:lang w:val="pl-PL"/>
        </w:rPr>
      </w:pPr>
    </w:p>
    <w:p w14:paraId="764DD7ED" w14:textId="77777777" w:rsidR="00C667D6" w:rsidRPr="00794E9F" w:rsidRDefault="008E02F7">
      <w:pPr>
        <w:jc w:val="both"/>
        <w:rPr>
          <w:rFonts w:ascii="Arial" w:eastAsia="Arial" w:hAnsi="Arial" w:cs="Arial"/>
          <w:b/>
          <w:bCs/>
          <w:lang w:val="pl-PL"/>
        </w:rPr>
      </w:pPr>
      <w:r w:rsidRPr="00794E9F">
        <w:rPr>
          <w:rFonts w:ascii="Arial" w:eastAsia="Arial" w:hAnsi="Arial" w:cs="Arial"/>
          <w:b/>
          <w:bCs/>
          <w:lang w:val="pl-PL"/>
        </w:rPr>
        <w:t>Jak utrzymać mózg w dobrej kondycji? Warto regularnie oddawać się zajęciom związanym z kreatywnością, jak taniec, malarstwo, a nawet granie w niektóre gry komputerowe. Opóźnia to starzenie się mózgu, a im większe doświadczenie, tym silniejszy efekt – zaobs</w:t>
      </w:r>
      <w:r w:rsidRPr="00794E9F">
        <w:rPr>
          <w:rFonts w:ascii="Arial" w:eastAsia="Arial" w:hAnsi="Arial" w:cs="Arial"/>
          <w:b/>
          <w:bCs/>
          <w:lang w:val="pl-PL"/>
        </w:rPr>
        <w:t>erwowali naukowcy w ramach międzynarodowego badania z udziałem badaczek z Uniwersytetu SWPS.</w:t>
      </w:r>
    </w:p>
    <w:p w14:paraId="2361A812" w14:textId="77777777" w:rsidR="00C667D6" w:rsidRPr="00794E9F" w:rsidRDefault="00C667D6">
      <w:pPr>
        <w:jc w:val="both"/>
        <w:rPr>
          <w:rFonts w:ascii="Arial" w:eastAsia="Arial" w:hAnsi="Arial" w:cs="Arial"/>
          <w:b/>
          <w:bCs/>
          <w:lang w:val="pl-PL"/>
        </w:rPr>
      </w:pPr>
    </w:p>
    <w:p w14:paraId="74796F83" w14:textId="77777777" w:rsidR="00C667D6" w:rsidRPr="00794E9F" w:rsidRDefault="008E02F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 xml:space="preserve">– Wnioski z badania, opisanego w czasopiśmie „Nature Communications”, mogą przełożyć się na konkretne działania w obszarze zdrowia publicznego. Sugerują potrzebę </w:t>
      </w:r>
      <w:r w:rsidRPr="00794E9F">
        <w:rPr>
          <w:sz w:val="20"/>
          <w:szCs w:val="20"/>
          <w:lang w:val="pl-PL"/>
        </w:rPr>
        <w:t>włączenia działań twórczych (np. artystycznych, muzycznych) do programów edukacyjnych i systemów opieki zdrowotnej jako obiecującego narzędzia wspierania zdrowia mózgu i dobrostanu społeczeństwa – uważa dr hab. Aneta Brzezicka, prof. USWPS, psycholożka, ws</w:t>
      </w:r>
      <w:r w:rsidRPr="00794E9F">
        <w:rPr>
          <w:sz w:val="20"/>
          <w:szCs w:val="20"/>
          <w:lang w:val="pl-PL"/>
        </w:rPr>
        <w:t>półautorka badania.</w:t>
      </w:r>
    </w:p>
    <w:p w14:paraId="71B7DE89" w14:textId="77777777" w:rsidR="00C667D6" w:rsidRPr="00794E9F" w:rsidRDefault="00C667D6">
      <w:pPr>
        <w:spacing w:before="1" w:line="300" w:lineRule="auto"/>
        <w:ind w:right="17"/>
        <w:jc w:val="both"/>
        <w:rPr>
          <w:sz w:val="20"/>
          <w:szCs w:val="20"/>
          <w:lang w:val="pl-PL"/>
        </w:rPr>
      </w:pPr>
    </w:p>
    <w:p w14:paraId="35E127FB" w14:textId="77777777" w:rsidR="00C667D6" w:rsidRPr="00794E9F" w:rsidRDefault="008E02F7">
      <w:pPr>
        <w:spacing w:before="1" w:line="300" w:lineRule="auto"/>
        <w:ind w:left="23" w:right="17"/>
        <w:jc w:val="both"/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</w:pPr>
      <w:r w:rsidRPr="00794E9F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Kreatywność przejawia się nie tylko w sztuce</w:t>
      </w:r>
    </w:p>
    <w:p w14:paraId="19C7858D" w14:textId="77777777" w:rsidR="00C667D6" w:rsidRPr="00794E9F" w:rsidRDefault="008E02F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 xml:space="preserve">Kreatywność, czyli tworzenie nowych pomysłów i rozwiązań przy użyciu własnej wyobraźni, odnosi się najczęściej do muzyki i sztuki, ale okazuje się, że również sięganie po niektóre gry wideo </w:t>
      </w:r>
      <w:r w:rsidRPr="00794E9F">
        <w:rPr>
          <w:sz w:val="20"/>
          <w:szCs w:val="20"/>
          <w:lang w:val="pl-PL"/>
        </w:rPr>
        <w:t>może ją pobudzać. Przykładowo gry strategiczne, jak StarCraft II, wymagają od użytkownika pomysłowości w wypracowywaniu unikatowych taktyk, sposobów rozwiązywania problemów czy indywidualnego stylu.</w:t>
      </w:r>
    </w:p>
    <w:p w14:paraId="165B4300" w14:textId="77777777" w:rsidR="00C667D6" w:rsidRPr="00794E9F" w:rsidRDefault="008E02F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>Już od jakiegoś czasu wiadomo, że kreatywność i działania</w:t>
      </w:r>
      <w:r w:rsidRPr="00794E9F">
        <w:rPr>
          <w:sz w:val="20"/>
          <w:szCs w:val="20"/>
          <w:lang w:val="pl-PL"/>
        </w:rPr>
        <w:t xml:space="preserve"> twórcze mają pozytywny wpływ na zdrowie mózgu</w:t>
      </w:r>
      <w:r w:rsidRPr="00794E9F">
        <w:rPr>
          <w:sz w:val="20"/>
          <w:szCs w:val="20"/>
          <w:vertAlign w:val="superscript"/>
          <w:lang w:val="pl-PL"/>
        </w:rPr>
        <w:footnoteReference w:id="1"/>
      </w:r>
      <w:r w:rsidRPr="00794E9F">
        <w:rPr>
          <w:sz w:val="20"/>
          <w:szCs w:val="20"/>
          <w:lang w:val="pl-PL"/>
        </w:rPr>
        <w:t>. Dostępne badania naukowe na ten temat skupiają się jednak na wpływie kreatywnych doświadczeń na procesy poznawcze i na samopoczucie, dlatego naukowcy w ramach międzynarodowego badania postanowili dostarczyć</w:t>
      </w:r>
      <w:r w:rsidRPr="00794E9F">
        <w:rPr>
          <w:sz w:val="20"/>
          <w:szCs w:val="20"/>
          <w:lang w:val="pl-PL"/>
        </w:rPr>
        <w:t xml:space="preserve"> dowodów na wpływ działań twórczych na zdrowie samego mózgu.</w:t>
      </w:r>
    </w:p>
    <w:p w14:paraId="46260322" w14:textId="77777777" w:rsidR="00C667D6" w:rsidRPr="00794E9F" w:rsidRDefault="008E02F7">
      <w:pPr>
        <w:spacing w:before="240" w:line="300" w:lineRule="auto"/>
        <w:jc w:val="both"/>
        <w:rPr>
          <w:b/>
          <w:bCs/>
          <w:sz w:val="20"/>
          <w:szCs w:val="20"/>
          <w:lang w:val="pl-PL"/>
        </w:rPr>
      </w:pPr>
      <w:r w:rsidRPr="00794E9F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Zegary mózgowe i luka wieku</w:t>
      </w:r>
    </w:p>
    <w:p w14:paraId="3B5308AB" w14:textId="77777777" w:rsidR="00C667D6" w:rsidRPr="00794E9F" w:rsidRDefault="008E02F7">
      <w:pPr>
        <w:spacing w:after="240" w:line="300" w:lineRule="auto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 xml:space="preserve">W ramach badania przeanalizowano dane neuroobrazowe i ankiety od ponad 1400 uczestników z 13 krajów (m.in. z Turcji, Włoch, Kuby, Argentyny, Kanady, Niemiec i </w:t>
      </w:r>
      <w:r w:rsidRPr="00794E9F">
        <w:rPr>
          <w:sz w:val="20"/>
          <w:szCs w:val="20"/>
          <w:lang w:val="pl-PL"/>
        </w:rPr>
        <w:lastRenderedPageBreak/>
        <w:t>Polski),</w:t>
      </w:r>
      <w:r w:rsidRPr="00794E9F">
        <w:rPr>
          <w:sz w:val="20"/>
          <w:szCs w:val="20"/>
          <w:lang w:val="pl-PL"/>
        </w:rPr>
        <w:t xml:space="preserve"> w tym osób, które można określić jako ekspertów w danej dziedzinie twórczej. Wzięto pod uwagę tancerzy (tango), muzyków, artystów wizualnych i graczy gier akcji, także tych niedoświadczonych, którym monitorowano zmiany aktywności mózgu podczas nauki gry w</w:t>
      </w:r>
      <w:r w:rsidRPr="00794E9F">
        <w:rPr>
          <w:sz w:val="20"/>
          <w:szCs w:val="20"/>
          <w:lang w:val="pl-PL"/>
        </w:rPr>
        <w:t>ideo.</w:t>
      </w:r>
    </w:p>
    <w:p w14:paraId="7B804F60" w14:textId="77777777" w:rsidR="00C667D6" w:rsidRPr="00794E9F" w:rsidRDefault="008E02F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 xml:space="preserve">Posłużono się przy tym zaawansowanymi modelami obliczeniowymi, tzw. zegarami mózgu (ang. </w:t>
      </w:r>
      <w:r w:rsidRPr="00794E9F">
        <w:rPr>
          <w:i/>
          <w:iCs/>
          <w:sz w:val="20"/>
          <w:szCs w:val="20"/>
          <w:lang w:val="pl-PL"/>
        </w:rPr>
        <w:t>brain clocks</w:t>
      </w:r>
      <w:r w:rsidRPr="00794E9F">
        <w:rPr>
          <w:sz w:val="20"/>
          <w:szCs w:val="20"/>
          <w:lang w:val="pl-PL"/>
        </w:rPr>
        <w:t>), które próbują oszacować „wiek mózgu” danej osoby z wykorzystaniem danych neuroobrazowych. W badaniach naukowych są one wykorzystywane w wielu chor</w:t>
      </w:r>
      <w:r w:rsidRPr="00794E9F">
        <w:rPr>
          <w:sz w:val="20"/>
          <w:szCs w:val="20"/>
          <w:lang w:val="pl-PL"/>
        </w:rPr>
        <w:t>obach mózgu</w:t>
      </w:r>
      <w:r w:rsidRPr="00794E9F">
        <w:rPr>
          <w:sz w:val="20"/>
          <w:szCs w:val="20"/>
          <w:vertAlign w:val="superscript"/>
          <w:lang w:val="pl-PL"/>
        </w:rPr>
        <w:footnoteReference w:id="2"/>
      </w:r>
      <w:r w:rsidRPr="00794E9F">
        <w:rPr>
          <w:sz w:val="20"/>
          <w:szCs w:val="20"/>
          <w:lang w:val="pl-PL"/>
        </w:rPr>
        <w:t xml:space="preserve">. Modele te porównują przewidywany wiek mózgu z wiekiem chronologicznym, szacując tzw. lukę wieku mózgu (ang. </w:t>
      </w:r>
      <w:r w:rsidRPr="00794E9F">
        <w:rPr>
          <w:i/>
          <w:iCs/>
          <w:sz w:val="20"/>
          <w:szCs w:val="20"/>
          <w:lang w:val="pl-PL"/>
        </w:rPr>
        <w:t>brain-age gap</w:t>
      </w:r>
      <w:r w:rsidRPr="00794E9F">
        <w:rPr>
          <w:sz w:val="20"/>
          <w:szCs w:val="20"/>
          <w:lang w:val="pl-PL"/>
        </w:rPr>
        <w:t>, BAG), odzwierciedlającą przyspieszone lub spowolnione starzenie się mózgu. Przyspieszone starzenie się (a więc większe</w:t>
      </w:r>
      <w:r w:rsidRPr="00794E9F">
        <w:rPr>
          <w:sz w:val="20"/>
          <w:szCs w:val="20"/>
          <w:lang w:val="pl-PL"/>
        </w:rPr>
        <w:t xml:space="preserve"> BAG) obserwuje się w schorzeniach psychiatrycznych i neurologicznych</w:t>
      </w:r>
      <w:r w:rsidRPr="00794E9F">
        <w:rPr>
          <w:sz w:val="20"/>
          <w:szCs w:val="20"/>
          <w:vertAlign w:val="superscript"/>
          <w:lang w:val="pl-PL"/>
        </w:rPr>
        <w:footnoteReference w:id="3"/>
      </w:r>
      <w:r w:rsidRPr="00794E9F">
        <w:rPr>
          <w:sz w:val="20"/>
          <w:szCs w:val="20"/>
          <w:lang w:val="pl-PL"/>
        </w:rPr>
        <w:t>, ale także u osób narażonych na niektóre czynniki fizyczne i społeczne oraz prowadzących niezdrowy tryb życia.</w:t>
      </w:r>
    </w:p>
    <w:p w14:paraId="04720C1E" w14:textId="77777777" w:rsidR="00C667D6" w:rsidRPr="00794E9F" w:rsidRDefault="008E02F7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</w:pPr>
      <w:r w:rsidRPr="00794E9F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Kreatywność wspiera zdrowie mózgu</w:t>
      </w:r>
    </w:p>
    <w:p w14:paraId="2647804A" w14:textId="77777777" w:rsidR="00C667D6" w:rsidRPr="00794E9F" w:rsidRDefault="008E02F7">
      <w:pPr>
        <w:pBdr>
          <w:top w:val="nil"/>
          <w:left w:val="nil"/>
          <w:bottom w:val="nil"/>
          <w:right w:val="nil"/>
          <w:between w:val="nil"/>
        </w:pBd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>Autorzy badania wykazali, że twórcze działania, od tańca i muzyki, po sztuki wizualne i gry komputerowe, mogą spowalniać starzenie się mózgu i wspierać jego zdrowe funkcjonowanie. Związek między kreatywnością a zdrowiem mózgu był niezależny od dziedziny ak</w:t>
      </w:r>
      <w:r w:rsidRPr="00794E9F">
        <w:rPr>
          <w:sz w:val="20"/>
          <w:szCs w:val="20"/>
          <w:lang w:val="pl-PL"/>
        </w:rPr>
        <w:t>tywności twórczej.</w:t>
      </w:r>
    </w:p>
    <w:p w14:paraId="201162DD" w14:textId="77777777" w:rsidR="00C667D6" w:rsidRPr="00794E9F" w:rsidRDefault="008E02F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>Wszystkie analizowane aktywności wiążą się z pobudzaniem wyobraźni i tworzeniem nowych rozwiązań. Choć różnią się formą, działają w podobny sposób i pomagają chronić połączenia nerwowe, które z wiekiem są najbardziej narażone na osłabien</w:t>
      </w:r>
      <w:r w:rsidRPr="00794E9F">
        <w:rPr>
          <w:sz w:val="20"/>
          <w:szCs w:val="20"/>
          <w:lang w:val="pl-PL"/>
        </w:rPr>
        <w:t>ie. Badanie pokazuje, że aktywności te wspomagają kluczowe funkcje m.in. kontrolę ruchów, koordynację i uwagę.</w:t>
      </w:r>
    </w:p>
    <w:p w14:paraId="560A72CE" w14:textId="77777777" w:rsidR="00C667D6" w:rsidRPr="00794E9F" w:rsidRDefault="008E02F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>Doświadczenia twórcze zwiększały plastyczność obszarów mózgu podatnych na starzenie się, a także obszarów związanych z procesami twórczymi. – Bad</w:t>
      </w:r>
      <w:r w:rsidRPr="00794E9F">
        <w:rPr>
          <w:sz w:val="20"/>
          <w:szCs w:val="20"/>
          <w:lang w:val="pl-PL"/>
        </w:rPr>
        <w:t xml:space="preserve">anie </w:t>
      </w:r>
      <w:r w:rsidRPr="00794E9F">
        <w:rPr>
          <w:sz w:val="20"/>
          <w:szCs w:val="20"/>
          <w:lang w:val="pl-PL"/>
        </w:rPr>
        <w:lastRenderedPageBreak/>
        <w:t>wykazało, że doświadczenia kreatywne są powiązane ze zwiększoną lokalną i globalną efektywnością w sieciach mózgowych (szczególnie w obszarach czołowo-ciemieniowych), co przekłada się na bardziej wydajne przetwarzanie informacji w tych kluczowych regi</w:t>
      </w:r>
      <w:r w:rsidRPr="00794E9F">
        <w:rPr>
          <w:sz w:val="20"/>
          <w:szCs w:val="20"/>
          <w:lang w:val="pl-PL"/>
        </w:rPr>
        <w:t>onach – tłumaczy psycholożka dr Natalia Kowalczyk-Grębska, której praca doktorska obroniona na Uniwersytecie SWPS stanowiła wkład do nowych badań.</w:t>
      </w:r>
    </w:p>
    <w:p w14:paraId="69E31D5A" w14:textId="77777777" w:rsidR="00C667D6" w:rsidRPr="00794E9F" w:rsidRDefault="008E02F7">
      <w:pPr>
        <w:spacing w:before="240" w:line="300" w:lineRule="auto"/>
        <w:jc w:val="both"/>
        <w:rPr>
          <w:b/>
          <w:bCs/>
          <w:sz w:val="20"/>
          <w:szCs w:val="20"/>
          <w:lang w:val="pl-PL"/>
        </w:rPr>
      </w:pPr>
      <w:r w:rsidRPr="00794E9F">
        <w:rPr>
          <w:rFonts w:ascii="Roboto" w:eastAsia="Roboto" w:hAnsi="Roboto" w:cs="Roboto"/>
          <w:b/>
          <w:bCs/>
          <w:sz w:val="21"/>
          <w:szCs w:val="21"/>
          <w:highlight w:val="white"/>
          <w:lang w:val="pl-PL"/>
        </w:rPr>
        <w:t>Większe doświadczenie, młodszy mózg</w:t>
      </w:r>
    </w:p>
    <w:p w14:paraId="48EA01B4" w14:textId="77777777" w:rsidR="00C667D6" w:rsidRPr="00794E9F" w:rsidRDefault="008E02F7">
      <w:pPr>
        <w:spacing w:line="300" w:lineRule="auto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>Osoby, które od lat rozwijają swoje zdolności w kreatywnych dziedzinach –</w:t>
      </w:r>
      <w:r w:rsidRPr="00794E9F">
        <w:rPr>
          <w:sz w:val="20"/>
          <w:szCs w:val="20"/>
          <w:lang w:val="pl-PL"/>
        </w:rPr>
        <w:t xml:space="preserve"> takich jak taniec, muzyka, sztuka czy gry akcji – wykazują wolniejsze tempo starzenia się mózgu w porównaniu z osobami o krótszym doświadczeniu w tych aktywnościach. Oznacza to, że długotrwała praktyka związana z kreatywnością może skuteczniej wspierać pl</w:t>
      </w:r>
      <w:r w:rsidRPr="00794E9F">
        <w:rPr>
          <w:sz w:val="20"/>
          <w:szCs w:val="20"/>
          <w:lang w:val="pl-PL"/>
        </w:rPr>
        <w:t>astyczność neuronalną i zdrowie mózgu niż krótkotrwałe doświadczenia.</w:t>
      </w:r>
    </w:p>
    <w:p w14:paraId="54502178" w14:textId="77777777" w:rsidR="00C667D6" w:rsidRPr="00794E9F" w:rsidRDefault="008E02F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 xml:space="preserve">Choć wykazano, że regularne uprawianie twórczych aktywności pomaga zachować „młodszy” mózg, to nawet krótkie działania przynoszą zauważalne efekty. Opóźnione starzenie się mózgu zostało </w:t>
      </w:r>
      <w:r w:rsidRPr="00794E9F">
        <w:rPr>
          <w:sz w:val="20"/>
          <w:szCs w:val="20"/>
          <w:lang w:val="pl-PL"/>
        </w:rPr>
        <w:t>zaobserwowane we wszystkich dziedzinach i to zarówno wśród doświadczonych osób, jak i tych, które miały mniej styczności z daną aktywnością.</w:t>
      </w:r>
    </w:p>
    <w:p w14:paraId="2120D296" w14:textId="77777777" w:rsidR="00C667D6" w:rsidRPr="00794E9F" w:rsidRDefault="008E02F7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>– Te wyniki wskazują, że warto regularnie sięgać do pokładów kreatywności, czy to poprzez taniec, czy malowanie, cz</w:t>
      </w:r>
      <w:r w:rsidRPr="00794E9F">
        <w:rPr>
          <w:sz w:val="20"/>
          <w:szCs w:val="20"/>
          <w:lang w:val="pl-PL"/>
        </w:rPr>
        <w:t>y zagłębianie się w świat gier komputerowych. Takie aktywności wiążą się z wolniejszym starzeniem się mózgu, a więc mogą być jednym z prostych, codziennych sposobów wspierania zdrowia mózgu i – pośrednio – naszego dobrostanu – konkluduje prof. Brzezicka.</w:t>
      </w:r>
    </w:p>
    <w:p w14:paraId="1C538CCF" w14:textId="56AA803F" w:rsidR="00C667D6" w:rsidRPr="00794E9F" w:rsidRDefault="008E02F7" w:rsidP="00794E9F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>Artykuł o badaniu “</w:t>
      </w:r>
      <w:hyperlink r:id="rId7">
        <w:r w:rsidRPr="00794E9F">
          <w:rPr>
            <w:color w:val="1155CC"/>
            <w:sz w:val="20"/>
            <w:szCs w:val="20"/>
            <w:u w:val="single"/>
            <w:lang w:val="pl-PL"/>
          </w:rPr>
          <w:t>Creative experiences and brain clocks</w:t>
        </w:r>
      </w:hyperlink>
      <w:r w:rsidRPr="00794E9F">
        <w:rPr>
          <w:sz w:val="20"/>
          <w:szCs w:val="20"/>
          <w:lang w:val="pl-PL"/>
        </w:rPr>
        <w:t xml:space="preserve">” ukazał się na łamach prestiżowego czasopisma „Nature Communications”. W prace zaangażowane były: dr hab. Aneta Brzezicka, prof. </w:t>
      </w:r>
      <w:r w:rsidRPr="00794E9F">
        <w:rPr>
          <w:sz w:val="20"/>
          <w:szCs w:val="20"/>
          <w:lang w:val="pl-PL"/>
        </w:rPr>
        <w:t>Uniwersytetu SWPS, psycholożka z Instytutu Psychologii USWPS, dr Natalia Kowalczyk-Grębska, psycholożka, która obroniła doktorat na USWPS i dr Natalia Jakubowska, psycholożka z Wydziału Psychologii w Warszawie USWPS.</w:t>
      </w:r>
    </w:p>
    <w:p w14:paraId="4C4DB02D" w14:textId="77777777" w:rsidR="00C667D6" w:rsidRPr="00794E9F" w:rsidRDefault="008E02F7">
      <w:pPr>
        <w:spacing w:before="1" w:line="300" w:lineRule="auto"/>
        <w:ind w:left="23" w:right="17"/>
        <w:jc w:val="both"/>
        <w:rPr>
          <w:sz w:val="20"/>
          <w:szCs w:val="20"/>
          <w:lang w:val="pl-PL"/>
        </w:rPr>
      </w:pPr>
      <w:r w:rsidRPr="00794E9F">
        <w:rPr>
          <w:lang w:val="pl-PL"/>
        </w:rPr>
        <w:pict w14:anchorId="11394AEE">
          <v:rect id="_x0000_i1025" style="width:0;height:1.5pt" o:hralign="center" o:hrstd="t" o:hr="t" fillcolor="#a0a0a0" stroked="f"/>
        </w:pict>
      </w:r>
    </w:p>
    <w:p w14:paraId="6DF947E0" w14:textId="77777777" w:rsidR="00C667D6" w:rsidRPr="00794E9F" w:rsidRDefault="00C667D6" w:rsidP="00794E9F">
      <w:pPr>
        <w:spacing w:before="1" w:line="300" w:lineRule="auto"/>
        <w:ind w:right="17"/>
        <w:jc w:val="both"/>
        <w:rPr>
          <w:sz w:val="20"/>
          <w:szCs w:val="20"/>
          <w:lang w:val="pl-PL"/>
        </w:rPr>
      </w:pPr>
    </w:p>
    <w:p w14:paraId="0F4741D5" w14:textId="77777777" w:rsidR="00C667D6" w:rsidRPr="00794E9F" w:rsidRDefault="00C667D6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</w:p>
    <w:p w14:paraId="3BB539C2" w14:textId="77777777" w:rsidR="00C667D6" w:rsidRPr="00794E9F" w:rsidRDefault="008E02F7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794E9F">
        <w:rPr>
          <w:rFonts w:ascii="Arial" w:eastAsia="Arial" w:hAnsi="Arial" w:cs="Arial"/>
          <w:b/>
          <w:bCs/>
          <w:lang w:val="pl-PL"/>
        </w:rPr>
        <w:t>****</w:t>
      </w:r>
    </w:p>
    <w:p w14:paraId="327595DA" w14:textId="77777777" w:rsidR="00C667D6" w:rsidRPr="00794E9F" w:rsidRDefault="00C667D6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6402A5E2" w14:textId="77777777" w:rsidR="00C667D6" w:rsidRPr="00794E9F" w:rsidRDefault="008E02F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794E9F">
        <w:rPr>
          <w:b/>
          <w:bCs/>
          <w:sz w:val="20"/>
          <w:szCs w:val="20"/>
          <w:lang w:val="pl-PL"/>
        </w:rPr>
        <w:t>Uniwersytet SWPS</w:t>
      </w:r>
      <w:r w:rsidRPr="00794E9F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</w:t>
      </w:r>
      <w:r w:rsidRPr="00794E9F">
        <w:rPr>
          <w:sz w:val="20"/>
          <w:szCs w:val="20"/>
          <w:lang w:val="pl-PL"/>
        </w:rPr>
        <w:t xml:space="preserve"> ponad tysiąc z zagranicy oraz ponad 4,5 tys. słuchaczek i słuchaczy studiów podyplomowych na ponad 50 kierunkach studiów stacjonarnych i ponad 40 niestacjonarnych i ok. 240 kierunkach studiów podyplomowych. Uniwersytet oferuje programy studiów z psycholog</w:t>
      </w:r>
      <w:r w:rsidRPr="00794E9F">
        <w:rPr>
          <w:sz w:val="20"/>
          <w:szCs w:val="20"/>
          <w:lang w:val="pl-PL"/>
        </w:rPr>
        <w:t>ii, prawa, zarządzania, dziennikarstwa, filologii, kulturoznawstwa, nowych technologii oraz grafiki i wzornictwa, a także edukację w postaci szkoleń i krótkich kursów akademickich. Uczelnia dba o wysoką wartość akademicką naszych programów oraz ich dostoso</w:t>
      </w:r>
      <w:r w:rsidRPr="00794E9F">
        <w:rPr>
          <w:sz w:val="20"/>
          <w:szCs w:val="20"/>
          <w:lang w:val="pl-PL"/>
        </w:rPr>
        <w:t>wanie do wymagań zmieniającego się rynku pracy. Kampusy Uniwersytetu SWPS znajdują się w sześciu miastach: Warszawie (siedziba), Wrocławiu, Sopocie, Poznaniu, Katowicach i w Krakowie.</w:t>
      </w:r>
    </w:p>
    <w:p w14:paraId="54A2B933" w14:textId="77777777" w:rsidR="00C667D6" w:rsidRPr="00794E9F" w:rsidRDefault="00C667D6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01A7BB2A" w14:textId="77777777" w:rsidR="00C667D6" w:rsidRPr="00794E9F" w:rsidRDefault="008E02F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 xml:space="preserve">Uczelnia posiada uprawnienia do nadawania stopnia doktora oraz doktora </w:t>
      </w:r>
      <w:r w:rsidRPr="00794E9F">
        <w:rPr>
          <w:sz w:val="20"/>
          <w:szCs w:val="20"/>
          <w:lang w:val="pl-PL"/>
        </w:rPr>
        <w:t>habilitowanego w siedmiu dyscyplinach: psychologia, nauki o kulturze i religii, literaturoznawstwo, nauki prawne, nauki socjologiczne, nauki o polityce i administracji, sztuki plastyczne i konserwacja dzieł sztuki. Na Uniwersytecie SWPS funkcjonuje pięć in</w:t>
      </w:r>
      <w:r w:rsidRPr="00794E9F">
        <w:rPr>
          <w:sz w:val="20"/>
          <w:szCs w:val="20"/>
          <w:lang w:val="pl-PL"/>
        </w:rPr>
        <w:t>stytutów naukowych, które zajmują się organizacją i koordynacją działalności naukowej pracowników badawczych i badawczo-dydaktycznych uczelni w poszczególnych dyscyplinach: Instytut Psychologii, Instytut Nauk Humanistycznych, Instytut Nauk Społecznych, Ins</w:t>
      </w:r>
      <w:r w:rsidRPr="00794E9F">
        <w:rPr>
          <w:sz w:val="20"/>
          <w:szCs w:val="20"/>
          <w:lang w:val="pl-PL"/>
        </w:rPr>
        <w:t>tytut Prawa oraz Instytut Projektowania. W uczelni działa blisko 30 centrów badawczych oraz ponad 175 kół naukowych.</w:t>
      </w:r>
    </w:p>
    <w:p w14:paraId="1AC3E15F" w14:textId="77777777" w:rsidR="00C667D6" w:rsidRPr="00794E9F" w:rsidRDefault="00C667D6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67A9CC4E" w14:textId="77777777" w:rsidR="00C667D6" w:rsidRPr="00794E9F" w:rsidRDefault="008E02F7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794E9F">
        <w:rPr>
          <w:sz w:val="20"/>
          <w:szCs w:val="20"/>
          <w:lang w:val="pl-PL"/>
        </w:rPr>
        <w:t>Uniwersytet SWPS należy do sojuszu European Reform University Alliance (ERUA). Jest to sojusz uczelni zawarty w ramach Inicjatywy Uniwersy</w:t>
      </w:r>
      <w:r w:rsidRPr="00794E9F">
        <w:rPr>
          <w:sz w:val="20"/>
          <w:szCs w:val="20"/>
          <w:lang w:val="pl-PL"/>
        </w:rPr>
        <w:t>tetów Europejskich, powołanej i finansowanej przez Komisję Europejską.</w:t>
      </w:r>
    </w:p>
    <w:p w14:paraId="780FCD06" w14:textId="77777777" w:rsidR="00C667D6" w:rsidRPr="00794E9F" w:rsidRDefault="00C667D6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C667D6" w:rsidRPr="00794E9F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1C5638" w14:textId="77777777" w:rsidR="008E02F7" w:rsidRDefault="008E02F7">
      <w:r>
        <w:separator/>
      </w:r>
    </w:p>
  </w:endnote>
  <w:endnote w:type="continuationSeparator" w:id="0">
    <w:p w14:paraId="01803472" w14:textId="77777777" w:rsidR="008E02F7" w:rsidRDefault="008E02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0F4761FE-3A47-4A45-9E44-40FC2EAFA5B5}"/>
    <w:embedBold r:id="rId2" w:fontKey="{65B4AA11-6F35-4D34-A576-A85983CFC94C}"/>
    <w:embedItalic r:id="rId3" w:fontKey="{AE49B634-8B99-4FA8-9F19-A9299FA75B0C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4" w:fontKey="{03B5E4F6-877B-4615-BA07-92812C97E7E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BB33F622-E2B1-483C-A91C-E7C6D26A9F0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2FF" w:usb1="5000205B" w:usb2="00000020" w:usb3="00000000" w:csb0="0000019F" w:csb1="00000000"/>
    <w:embedBold r:id="rId6" w:fontKey="{94FA0EA0-60EC-4610-9239-C3204B2C1F83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FDA1D40D-82E2-4669-A243-6371C035702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6D61865E-B1E5-4B46-9E22-FF47E73A52F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419B90" w14:textId="77777777" w:rsidR="00C667D6" w:rsidRDefault="008E02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533C9908" wp14:editId="56C798E7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l="0" t="0" r="0" b="0"/>
              <wp:wrapNone/>
              <wp:docPr id="12" name="Prostokąt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0E76824" w14:textId="77777777" w:rsidR="00C667D6" w:rsidRDefault="008E02F7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>Uniwersytet SWPS</w:t>
                          </w:r>
                        </w:p>
                        <w:p w14:paraId="6892FCBA" w14:textId="77777777" w:rsidR="00C667D6" w:rsidRDefault="008E02F7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>ul. Chodakowska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9571038</wp:posOffset>
              </wp:positionV>
              <wp:extent cx="3571110" cy="427230"/>
              <wp:effectExtent b="0" l="0" r="0" t="0"/>
              <wp:wrapNone/>
              <wp:docPr id="12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71110" cy="4272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4241BD52" wp14:editId="6F08BFBD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l="0" t="0" r="0" b="0"/>
              <wp:wrapNone/>
              <wp:docPr id="13" name="Prostokąt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84D3942" w14:textId="77777777" w:rsidR="00C667D6" w:rsidRDefault="008E02F7">
                          <w:pPr>
                            <w:spacing w:before="20"/>
                            <w:ind w:left="20" w:firstLine="12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-906460</wp:posOffset>
              </wp:positionH>
              <wp:positionV relativeFrom="paragraph">
                <wp:posOffset>9825038</wp:posOffset>
              </wp:positionV>
              <wp:extent cx="958950" cy="176670"/>
              <wp:effectExtent b="0" l="0" r="0" t="0"/>
              <wp:wrapNone/>
              <wp:docPr id="13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58950" cy="17667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9ACE19" w14:textId="77777777" w:rsidR="008E02F7" w:rsidRDefault="008E02F7">
      <w:r>
        <w:separator/>
      </w:r>
    </w:p>
  </w:footnote>
  <w:footnote w:type="continuationSeparator" w:id="0">
    <w:p w14:paraId="08CFB2B2" w14:textId="77777777" w:rsidR="008E02F7" w:rsidRDefault="008E02F7">
      <w:r>
        <w:continuationSeparator/>
      </w:r>
    </w:p>
  </w:footnote>
  <w:footnote w:id="1">
    <w:p w14:paraId="3C9FEF3E" w14:textId="77777777" w:rsidR="00C667D6" w:rsidRDefault="008E02F7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>Chen, W. G. et al. Music and medicine: quickening the tempo of progress. Lancet 403, 1213–1215 (2024).</w:t>
      </w:r>
    </w:p>
  </w:footnote>
  <w:footnote w:id="2">
    <w:p w14:paraId="5EA9DF9C" w14:textId="77777777" w:rsidR="00C667D6" w:rsidRDefault="008E02F7">
      <w:pPr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>Ibanez, A., Kringelbach, M. L. &amp; Deco, G. A synergetic turn in cog</w:t>
      </w:r>
      <w:r>
        <w:rPr>
          <w:rFonts w:ascii="Arial" w:eastAsia="Arial" w:hAnsi="Arial" w:cs="Arial"/>
          <w:sz w:val="16"/>
          <w:szCs w:val="16"/>
        </w:rPr>
        <w:t>[1]</w:t>
      </w:r>
      <w:r>
        <w:rPr>
          <w:sz w:val="16"/>
          <w:szCs w:val="16"/>
        </w:rPr>
        <w:t>nitive neuroscience of brain diseases. Trends Cogn. Sci. https://doi. org/10.1016/</w:t>
      </w:r>
      <w:r>
        <w:rPr>
          <w:sz w:val="16"/>
          <w:szCs w:val="16"/>
        </w:rPr>
        <w:t>j.tics.2023.12.006 (2024).</w:t>
      </w:r>
    </w:p>
  </w:footnote>
  <w:footnote w:id="3">
    <w:p w14:paraId="35F44574" w14:textId="77777777" w:rsidR="00C667D6" w:rsidRDefault="008E02F7">
      <w:pPr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>Boyle, P. A. et al. The “cognitive clock”: A novel indicator of brain health. Alzheimer’s. Dement. 17, 1923–1937 (2021).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F99C61" w14:textId="77777777" w:rsidR="00C667D6" w:rsidRDefault="008E02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18E106F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AEF40C" w14:textId="77777777" w:rsidR="00C667D6" w:rsidRDefault="008E02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0BD610FF" wp14:editId="2E56CE7F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4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986153" w14:textId="77777777" w:rsidR="00C667D6" w:rsidRDefault="008E02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3DB0A46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67D6"/>
    <w:rsid w:val="00794E9F"/>
    <w:rsid w:val="008E02F7"/>
    <w:rsid w:val="00C66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0DE9056"/>
  <w15:docId w15:val="{242B5786-28AF-440B-9AEB-BB3188B730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nature.com/articles/s41467-025-64173-9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q5Is0y0L/ZJqPfEkr9uf62hMfg==">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1066</Words>
  <Characters>6399</Characters>
  <Application>Microsoft Office Word</Application>
  <DocSecurity>0</DocSecurity>
  <Lines>53</Lines>
  <Paragraphs>14</Paragraphs>
  <ScaleCrop>false</ScaleCrop>
  <Company>Uniwersytet SWPS</Company>
  <LinksUpToDate>false</LinksUpToDate>
  <CharactersWithSpaces>7451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2</cp:revision>
  <dcterms:created xsi:type="dcterms:W3CDTF">2025-11-19T08:45:00Z</dcterms:created>
  <dcterms:modified xsi:type="dcterms:W3CDTF">2025-11-19T08:46:00Z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